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5B" w:rsidRDefault="005F663F">
      <w:pPr>
        <w:rPr>
          <w:b/>
          <w:sz w:val="24"/>
          <w:szCs w:val="24"/>
          <w:u w:val="single"/>
        </w:rPr>
      </w:pPr>
      <w:r w:rsidRPr="005F663F">
        <w:rPr>
          <w:b/>
          <w:sz w:val="24"/>
          <w:szCs w:val="24"/>
          <w:u w:val="single"/>
        </w:rPr>
        <w:t xml:space="preserve">Agilent 8990B Peak Power Analyzer (PPA) FW/SW </w:t>
      </w:r>
      <w:proofErr w:type="gramStart"/>
      <w:r w:rsidRPr="005F663F">
        <w:rPr>
          <w:b/>
          <w:sz w:val="24"/>
          <w:szCs w:val="24"/>
          <w:u w:val="single"/>
        </w:rPr>
        <w:t>upgrade</w:t>
      </w:r>
      <w:proofErr w:type="gramEnd"/>
      <w:r w:rsidRPr="005F663F">
        <w:rPr>
          <w:b/>
          <w:sz w:val="24"/>
          <w:szCs w:val="24"/>
          <w:u w:val="single"/>
        </w:rPr>
        <w:t xml:space="preserve"> procedure</w:t>
      </w:r>
    </w:p>
    <w:p w:rsidR="005F663F" w:rsidRPr="00B00ADD" w:rsidRDefault="005F66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Updated: </w:t>
      </w:r>
      <w:r w:rsidR="00352AA6">
        <w:rPr>
          <w:b/>
          <w:sz w:val="24"/>
          <w:szCs w:val="24"/>
        </w:rPr>
        <w:t>25 Apr</w:t>
      </w:r>
      <w:bookmarkStart w:id="0" w:name="_GoBack"/>
      <w:bookmarkEnd w:id="0"/>
      <w:r>
        <w:rPr>
          <w:b/>
          <w:sz w:val="24"/>
          <w:szCs w:val="24"/>
        </w:rPr>
        <w:t xml:space="preserve"> 2012</w:t>
      </w:r>
    </w:p>
    <w:p w:rsidR="005F663F" w:rsidRPr="005F663F" w:rsidRDefault="005F663F">
      <w:pPr>
        <w:rPr>
          <w:color w:val="FF0000"/>
          <w:sz w:val="24"/>
          <w:szCs w:val="24"/>
          <w:u w:val="single"/>
        </w:rPr>
      </w:pPr>
      <w:r w:rsidRPr="005F663F">
        <w:rPr>
          <w:sz w:val="24"/>
          <w:szCs w:val="24"/>
          <w:u w:val="single"/>
        </w:rPr>
        <w:t>Pre-requisites:</w:t>
      </w:r>
      <w:r w:rsidRPr="005F663F">
        <w:rPr>
          <w:color w:val="FF0000"/>
          <w:sz w:val="24"/>
          <w:szCs w:val="24"/>
          <w:u w:val="single"/>
        </w:rPr>
        <w:t xml:space="preserve"> </w:t>
      </w:r>
    </w:p>
    <w:p w:rsidR="005F663F" w:rsidRPr="005F663F" w:rsidRDefault="005F663F">
      <w:pPr>
        <w:rPr>
          <w:color w:val="FF0000"/>
          <w:sz w:val="24"/>
          <w:szCs w:val="24"/>
        </w:rPr>
      </w:pPr>
      <w:r w:rsidRPr="005F663F">
        <w:rPr>
          <w:color w:val="FF0000"/>
          <w:sz w:val="24"/>
          <w:szCs w:val="24"/>
        </w:rPr>
        <w:t>The 8990B</w:t>
      </w:r>
      <w:r>
        <w:rPr>
          <w:color w:val="FF0000"/>
          <w:sz w:val="24"/>
          <w:szCs w:val="24"/>
        </w:rPr>
        <w:t xml:space="preserve"> PPA is running on Window 7, else please contact your Agilent representative to have the unit upgraded to Window 7.</w:t>
      </w:r>
    </w:p>
    <w:p w:rsidR="005F663F" w:rsidRPr="00B00ADD" w:rsidRDefault="00B00ADD" w:rsidP="00B00A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00ADD">
        <w:rPr>
          <w:sz w:val="24"/>
          <w:szCs w:val="24"/>
        </w:rPr>
        <w:t>Copy the installer file (PPAxxxxx.exe) to the local drive or desktop of the 8990B PPA.</w:t>
      </w:r>
    </w:p>
    <w:p w:rsidR="00B00ADD" w:rsidRDefault="00B00ADD" w:rsidP="00B00A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00ADD">
        <w:rPr>
          <w:sz w:val="24"/>
          <w:szCs w:val="24"/>
        </w:rPr>
        <w:t>Double click on the exe file.</w:t>
      </w:r>
      <w:r>
        <w:rPr>
          <w:sz w:val="24"/>
          <w:szCs w:val="24"/>
        </w:rPr>
        <w:t xml:space="preserve"> The installer will start to prepare the upgrade, shown below.</w:t>
      </w:r>
    </w:p>
    <w:p w:rsidR="00B00ADD" w:rsidRDefault="00B00ADD" w:rsidP="00B00AD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352503" cy="2560320"/>
            <wp:effectExtent l="19050" t="0" r="29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947" cy="2561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ADD" w:rsidRDefault="00B00ADD" w:rsidP="00B00A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read the Agilent software licensing agreement pop up dialog window, click “I accept…” and Next.</w:t>
      </w:r>
    </w:p>
    <w:p w:rsidR="00B00ADD" w:rsidRDefault="00B00ADD" w:rsidP="00B00AD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367888" cy="2624003"/>
            <wp:effectExtent l="19050" t="0" r="3962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64" cy="262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ADD" w:rsidRDefault="00B00ADD" w:rsidP="00B00A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Installation will start;</w:t>
      </w:r>
      <w:r w:rsidR="003A6D12">
        <w:rPr>
          <w:sz w:val="24"/>
          <w:szCs w:val="24"/>
        </w:rPr>
        <w:t xml:space="preserve"> the progress status window</w:t>
      </w:r>
      <w:r>
        <w:rPr>
          <w:sz w:val="24"/>
          <w:szCs w:val="24"/>
        </w:rPr>
        <w:t xml:space="preserve"> is shown as follow.</w:t>
      </w:r>
      <w:r w:rsidR="003A6D12">
        <w:rPr>
          <w:sz w:val="24"/>
          <w:szCs w:val="24"/>
        </w:rPr>
        <w:t xml:space="preserve"> The Firmware (FW) upgrade will take as long as 15 minutes to complete. The dialog window will close automatically after the upgrade is complete.</w:t>
      </w:r>
    </w:p>
    <w:p w:rsidR="00B00ADD" w:rsidRDefault="00B00ADD" w:rsidP="00B00ADD">
      <w:pPr>
        <w:pStyle w:val="ListParagraph"/>
        <w:rPr>
          <w:sz w:val="24"/>
          <w:szCs w:val="24"/>
        </w:rPr>
      </w:pPr>
    </w:p>
    <w:p w:rsidR="00B00ADD" w:rsidRDefault="00B00ADD" w:rsidP="00B00ADD">
      <w:pPr>
        <w:pStyle w:val="ListParagraph"/>
        <w:ind w:left="14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382518" cy="2542241"/>
            <wp:effectExtent l="19050" t="0" r="8382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751" cy="2542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ADD" w:rsidRDefault="00B00ADD" w:rsidP="00B00ADD">
      <w:pPr>
        <w:pStyle w:val="ListParagraph"/>
        <w:ind w:left="1440"/>
        <w:jc w:val="center"/>
        <w:rPr>
          <w:sz w:val="24"/>
          <w:szCs w:val="24"/>
        </w:rPr>
      </w:pPr>
    </w:p>
    <w:p w:rsidR="00B00ADD" w:rsidRDefault="003A6D12" w:rsidP="003A6D12">
      <w:pPr>
        <w:pStyle w:val="ListParagraph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39790" cy="826770"/>
            <wp:effectExtent l="1905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F1" w:rsidRDefault="00EB46F1" w:rsidP="003A6D12">
      <w:pPr>
        <w:pStyle w:val="ListParagraph"/>
        <w:jc w:val="center"/>
        <w:rPr>
          <w:sz w:val="24"/>
          <w:szCs w:val="24"/>
        </w:rPr>
      </w:pPr>
    </w:p>
    <w:p w:rsidR="003A6D12" w:rsidRPr="00EB46F1" w:rsidRDefault="00EB46F1" w:rsidP="00EB46F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Once the upgrade process is completed, click OK on the “Complete” dialog window.</w:t>
      </w:r>
    </w:p>
    <w:p w:rsidR="003A6D12" w:rsidRDefault="00EB46F1" w:rsidP="00EB46F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15364" cy="1136458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275" cy="114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F1" w:rsidRPr="00EB46F1" w:rsidRDefault="00EB46F1" w:rsidP="00EB46F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Finally, a full shot down of the PPA is required as follow, click “Yes” for the shutdown. After the shutdown, please wait at least 15 seconds before restarting the PPA.</w:t>
      </w:r>
    </w:p>
    <w:p w:rsidR="00EB46F1" w:rsidRPr="00EB46F1" w:rsidRDefault="00EB46F1" w:rsidP="00EB46F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097226" cy="1286832"/>
            <wp:effectExtent l="19050" t="0" r="7924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67" cy="1288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46F1" w:rsidRPr="00EB46F1" w:rsidSect="00584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D1799"/>
    <w:multiLevelType w:val="hybridMultilevel"/>
    <w:tmpl w:val="FDE03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663F"/>
    <w:rsid w:val="0000192B"/>
    <w:rsid w:val="0001463F"/>
    <w:rsid w:val="000272B5"/>
    <w:rsid w:val="00027B8A"/>
    <w:rsid w:val="000347DF"/>
    <w:rsid w:val="00047227"/>
    <w:rsid w:val="000500A0"/>
    <w:rsid w:val="00051F72"/>
    <w:rsid w:val="000521A9"/>
    <w:rsid w:val="00065525"/>
    <w:rsid w:val="00074E04"/>
    <w:rsid w:val="000773D4"/>
    <w:rsid w:val="000828AB"/>
    <w:rsid w:val="000837E2"/>
    <w:rsid w:val="0009479E"/>
    <w:rsid w:val="00097700"/>
    <w:rsid w:val="00097D18"/>
    <w:rsid w:val="000A2DE6"/>
    <w:rsid w:val="000A3DA0"/>
    <w:rsid w:val="000A5390"/>
    <w:rsid w:val="000A6BB3"/>
    <w:rsid w:val="000C1F30"/>
    <w:rsid w:val="000C43A9"/>
    <w:rsid w:val="000C5B0F"/>
    <w:rsid w:val="000C60A9"/>
    <w:rsid w:val="000D3749"/>
    <w:rsid w:val="000D5024"/>
    <w:rsid w:val="000E65A7"/>
    <w:rsid w:val="000F1468"/>
    <w:rsid w:val="0010340C"/>
    <w:rsid w:val="0010711E"/>
    <w:rsid w:val="001072B2"/>
    <w:rsid w:val="00111120"/>
    <w:rsid w:val="00113E88"/>
    <w:rsid w:val="00114FE5"/>
    <w:rsid w:val="001160AD"/>
    <w:rsid w:val="00130E30"/>
    <w:rsid w:val="00132783"/>
    <w:rsid w:val="00141409"/>
    <w:rsid w:val="0014238B"/>
    <w:rsid w:val="00142D9F"/>
    <w:rsid w:val="001456E1"/>
    <w:rsid w:val="001474D9"/>
    <w:rsid w:val="00150FC7"/>
    <w:rsid w:val="00165005"/>
    <w:rsid w:val="001658A9"/>
    <w:rsid w:val="00167B66"/>
    <w:rsid w:val="0017180A"/>
    <w:rsid w:val="001726B8"/>
    <w:rsid w:val="001742F3"/>
    <w:rsid w:val="0017525B"/>
    <w:rsid w:val="00175DD6"/>
    <w:rsid w:val="00181C74"/>
    <w:rsid w:val="001876A0"/>
    <w:rsid w:val="00187F4F"/>
    <w:rsid w:val="00193C87"/>
    <w:rsid w:val="001B005F"/>
    <w:rsid w:val="001B046C"/>
    <w:rsid w:val="001B52A1"/>
    <w:rsid w:val="001D01FE"/>
    <w:rsid w:val="001D1B3F"/>
    <w:rsid w:val="001E02AF"/>
    <w:rsid w:val="001E676B"/>
    <w:rsid w:val="001E6965"/>
    <w:rsid w:val="001E7B4E"/>
    <w:rsid w:val="001F1206"/>
    <w:rsid w:val="001F2597"/>
    <w:rsid w:val="001F2E9F"/>
    <w:rsid w:val="001F3F95"/>
    <w:rsid w:val="001F6E09"/>
    <w:rsid w:val="001F72C3"/>
    <w:rsid w:val="0020169A"/>
    <w:rsid w:val="00201D57"/>
    <w:rsid w:val="00204D81"/>
    <w:rsid w:val="00207155"/>
    <w:rsid w:val="00213E03"/>
    <w:rsid w:val="00235779"/>
    <w:rsid w:val="0024403C"/>
    <w:rsid w:val="00244279"/>
    <w:rsid w:val="00247164"/>
    <w:rsid w:val="002472A1"/>
    <w:rsid w:val="00250B9B"/>
    <w:rsid w:val="00254268"/>
    <w:rsid w:val="0026091F"/>
    <w:rsid w:val="00261CA6"/>
    <w:rsid w:val="00276942"/>
    <w:rsid w:val="00283ACB"/>
    <w:rsid w:val="00284985"/>
    <w:rsid w:val="002B124F"/>
    <w:rsid w:val="002B554E"/>
    <w:rsid w:val="002B799B"/>
    <w:rsid w:val="002C06F9"/>
    <w:rsid w:val="002C0EEC"/>
    <w:rsid w:val="002C171E"/>
    <w:rsid w:val="002C581E"/>
    <w:rsid w:val="002D2577"/>
    <w:rsid w:val="002D44C1"/>
    <w:rsid w:val="002D66A0"/>
    <w:rsid w:val="002E1750"/>
    <w:rsid w:val="002F0093"/>
    <w:rsid w:val="002F1863"/>
    <w:rsid w:val="002F69FD"/>
    <w:rsid w:val="00300533"/>
    <w:rsid w:val="00302A50"/>
    <w:rsid w:val="003112F0"/>
    <w:rsid w:val="003113AF"/>
    <w:rsid w:val="00312583"/>
    <w:rsid w:val="00322792"/>
    <w:rsid w:val="00323D95"/>
    <w:rsid w:val="003316FC"/>
    <w:rsid w:val="00334F43"/>
    <w:rsid w:val="0034160C"/>
    <w:rsid w:val="0034339B"/>
    <w:rsid w:val="00343808"/>
    <w:rsid w:val="0035144D"/>
    <w:rsid w:val="00352AA6"/>
    <w:rsid w:val="003579CC"/>
    <w:rsid w:val="003613BE"/>
    <w:rsid w:val="0036336A"/>
    <w:rsid w:val="00363424"/>
    <w:rsid w:val="003819B9"/>
    <w:rsid w:val="00385364"/>
    <w:rsid w:val="0038765A"/>
    <w:rsid w:val="003A6D12"/>
    <w:rsid w:val="003A7596"/>
    <w:rsid w:val="003B44F9"/>
    <w:rsid w:val="003B5CBC"/>
    <w:rsid w:val="003C0947"/>
    <w:rsid w:val="003C1197"/>
    <w:rsid w:val="003C1F3B"/>
    <w:rsid w:val="003C5CBD"/>
    <w:rsid w:val="003C6100"/>
    <w:rsid w:val="003D14D7"/>
    <w:rsid w:val="003D5FDB"/>
    <w:rsid w:val="003D70BA"/>
    <w:rsid w:val="003D7644"/>
    <w:rsid w:val="003E7C41"/>
    <w:rsid w:val="003F5BB5"/>
    <w:rsid w:val="004029B8"/>
    <w:rsid w:val="00402CBD"/>
    <w:rsid w:val="00414F1D"/>
    <w:rsid w:val="004169EC"/>
    <w:rsid w:val="004200F2"/>
    <w:rsid w:val="00420E65"/>
    <w:rsid w:val="004211B8"/>
    <w:rsid w:val="00431112"/>
    <w:rsid w:val="004335A8"/>
    <w:rsid w:val="00436F04"/>
    <w:rsid w:val="00436F62"/>
    <w:rsid w:val="004513E4"/>
    <w:rsid w:val="00453163"/>
    <w:rsid w:val="00460A0F"/>
    <w:rsid w:val="00460A77"/>
    <w:rsid w:val="0046747F"/>
    <w:rsid w:val="00473407"/>
    <w:rsid w:val="00485330"/>
    <w:rsid w:val="00485554"/>
    <w:rsid w:val="004855FA"/>
    <w:rsid w:val="00491BF0"/>
    <w:rsid w:val="004A4B84"/>
    <w:rsid w:val="004A7802"/>
    <w:rsid w:val="004B249C"/>
    <w:rsid w:val="004C2B45"/>
    <w:rsid w:val="004C2CCC"/>
    <w:rsid w:val="004C52A7"/>
    <w:rsid w:val="004C5A5F"/>
    <w:rsid w:val="004E28FD"/>
    <w:rsid w:val="004E4148"/>
    <w:rsid w:val="004E52BC"/>
    <w:rsid w:val="004E5412"/>
    <w:rsid w:val="004E7E55"/>
    <w:rsid w:val="004F0C70"/>
    <w:rsid w:val="004F21C2"/>
    <w:rsid w:val="004F5096"/>
    <w:rsid w:val="004F6BA8"/>
    <w:rsid w:val="00501B85"/>
    <w:rsid w:val="00513E40"/>
    <w:rsid w:val="00520459"/>
    <w:rsid w:val="00530528"/>
    <w:rsid w:val="005305C5"/>
    <w:rsid w:val="00535E29"/>
    <w:rsid w:val="00536FDB"/>
    <w:rsid w:val="00543C2B"/>
    <w:rsid w:val="00556C18"/>
    <w:rsid w:val="00561D44"/>
    <w:rsid w:val="00565981"/>
    <w:rsid w:val="00572CA9"/>
    <w:rsid w:val="005746D1"/>
    <w:rsid w:val="005763BB"/>
    <w:rsid w:val="00576E2F"/>
    <w:rsid w:val="00580C1E"/>
    <w:rsid w:val="00583272"/>
    <w:rsid w:val="00584057"/>
    <w:rsid w:val="0058485B"/>
    <w:rsid w:val="00585B76"/>
    <w:rsid w:val="00587CDA"/>
    <w:rsid w:val="00590AE1"/>
    <w:rsid w:val="00593A37"/>
    <w:rsid w:val="005A0451"/>
    <w:rsid w:val="005A0BB9"/>
    <w:rsid w:val="005B0641"/>
    <w:rsid w:val="005B0FCF"/>
    <w:rsid w:val="005B177B"/>
    <w:rsid w:val="005B716C"/>
    <w:rsid w:val="005C0BAA"/>
    <w:rsid w:val="005C1F68"/>
    <w:rsid w:val="005D7F6A"/>
    <w:rsid w:val="005E1F3C"/>
    <w:rsid w:val="005E7315"/>
    <w:rsid w:val="005F0C73"/>
    <w:rsid w:val="005F36FD"/>
    <w:rsid w:val="005F4AA7"/>
    <w:rsid w:val="005F5063"/>
    <w:rsid w:val="005F663F"/>
    <w:rsid w:val="00603D1A"/>
    <w:rsid w:val="0061272F"/>
    <w:rsid w:val="00621DB4"/>
    <w:rsid w:val="00624F7D"/>
    <w:rsid w:val="00627049"/>
    <w:rsid w:val="00630017"/>
    <w:rsid w:val="0063007B"/>
    <w:rsid w:val="00635ECE"/>
    <w:rsid w:val="00640A06"/>
    <w:rsid w:val="006452B8"/>
    <w:rsid w:val="00645FCA"/>
    <w:rsid w:val="00650744"/>
    <w:rsid w:val="00652F1D"/>
    <w:rsid w:val="006533E5"/>
    <w:rsid w:val="006534F5"/>
    <w:rsid w:val="00655024"/>
    <w:rsid w:val="00655E5E"/>
    <w:rsid w:val="006603FF"/>
    <w:rsid w:val="00660873"/>
    <w:rsid w:val="00663B65"/>
    <w:rsid w:val="0066751C"/>
    <w:rsid w:val="006676D1"/>
    <w:rsid w:val="00673219"/>
    <w:rsid w:val="00676716"/>
    <w:rsid w:val="0067754D"/>
    <w:rsid w:val="00684A3E"/>
    <w:rsid w:val="00686E9D"/>
    <w:rsid w:val="006A5A24"/>
    <w:rsid w:val="006A65AF"/>
    <w:rsid w:val="006A6818"/>
    <w:rsid w:val="006A78D7"/>
    <w:rsid w:val="006B3B1A"/>
    <w:rsid w:val="006B3F2C"/>
    <w:rsid w:val="006B40F0"/>
    <w:rsid w:val="006B4D16"/>
    <w:rsid w:val="006C066F"/>
    <w:rsid w:val="006C2886"/>
    <w:rsid w:val="006C558E"/>
    <w:rsid w:val="006C570F"/>
    <w:rsid w:val="006D3422"/>
    <w:rsid w:val="006D4629"/>
    <w:rsid w:val="006D50B4"/>
    <w:rsid w:val="006E4553"/>
    <w:rsid w:val="00701EEB"/>
    <w:rsid w:val="00702E47"/>
    <w:rsid w:val="0071123D"/>
    <w:rsid w:val="00713FF7"/>
    <w:rsid w:val="0071661C"/>
    <w:rsid w:val="00716981"/>
    <w:rsid w:val="00723DB5"/>
    <w:rsid w:val="007274CE"/>
    <w:rsid w:val="00727CAB"/>
    <w:rsid w:val="00740B60"/>
    <w:rsid w:val="00744ADA"/>
    <w:rsid w:val="007567BE"/>
    <w:rsid w:val="0075692D"/>
    <w:rsid w:val="00763C86"/>
    <w:rsid w:val="00767CE4"/>
    <w:rsid w:val="007710A8"/>
    <w:rsid w:val="00773165"/>
    <w:rsid w:val="0078050B"/>
    <w:rsid w:val="0078143E"/>
    <w:rsid w:val="00784F37"/>
    <w:rsid w:val="007855E2"/>
    <w:rsid w:val="007A3165"/>
    <w:rsid w:val="007B3816"/>
    <w:rsid w:val="007B7FE1"/>
    <w:rsid w:val="007C3837"/>
    <w:rsid w:val="007C7C94"/>
    <w:rsid w:val="007D2305"/>
    <w:rsid w:val="007E0510"/>
    <w:rsid w:val="007E1070"/>
    <w:rsid w:val="007E53B1"/>
    <w:rsid w:val="007F05CE"/>
    <w:rsid w:val="007F237B"/>
    <w:rsid w:val="007F38B7"/>
    <w:rsid w:val="00816269"/>
    <w:rsid w:val="0081760B"/>
    <w:rsid w:val="008178A7"/>
    <w:rsid w:val="00830D6F"/>
    <w:rsid w:val="00834B69"/>
    <w:rsid w:val="00841528"/>
    <w:rsid w:val="00842A3A"/>
    <w:rsid w:val="0085635F"/>
    <w:rsid w:val="008578D2"/>
    <w:rsid w:val="00864759"/>
    <w:rsid w:val="00865716"/>
    <w:rsid w:val="00871D16"/>
    <w:rsid w:val="00872243"/>
    <w:rsid w:val="00874CC0"/>
    <w:rsid w:val="008752B5"/>
    <w:rsid w:val="00880F91"/>
    <w:rsid w:val="00881F64"/>
    <w:rsid w:val="008A17B9"/>
    <w:rsid w:val="008A1CB5"/>
    <w:rsid w:val="008A341D"/>
    <w:rsid w:val="008A4255"/>
    <w:rsid w:val="008B45BA"/>
    <w:rsid w:val="008B4B35"/>
    <w:rsid w:val="008B66E8"/>
    <w:rsid w:val="008C1935"/>
    <w:rsid w:val="008C1AB3"/>
    <w:rsid w:val="008C22B7"/>
    <w:rsid w:val="008D7C44"/>
    <w:rsid w:val="008E0270"/>
    <w:rsid w:val="008E2967"/>
    <w:rsid w:val="008E4B61"/>
    <w:rsid w:val="008E6412"/>
    <w:rsid w:val="008F7B93"/>
    <w:rsid w:val="00914253"/>
    <w:rsid w:val="00914813"/>
    <w:rsid w:val="00914C36"/>
    <w:rsid w:val="00914CA2"/>
    <w:rsid w:val="00915E53"/>
    <w:rsid w:val="00926A21"/>
    <w:rsid w:val="0093347C"/>
    <w:rsid w:val="00940333"/>
    <w:rsid w:val="00940962"/>
    <w:rsid w:val="00950B0F"/>
    <w:rsid w:val="00951F8E"/>
    <w:rsid w:val="00966813"/>
    <w:rsid w:val="00977CF1"/>
    <w:rsid w:val="0098086B"/>
    <w:rsid w:val="00985706"/>
    <w:rsid w:val="009878C3"/>
    <w:rsid w:val="00990676"/>
    <w:rsid w:val="00990A57"/>
    <w:rsid w:val="009B5A91"/>
    <w:rsid w:val="009C0C88"/>
    <w:rsid w:val="009C5AEF"/>
    <w:rsid w:val="009E077C"/>
    <w:rsid w:val="009E082B"/>
    <w:rsid w:val="009E6DFA"/>
    <w:rsid w:val="009F784B"/>
    <w:rsid w:val="00A0332B"/>
    <w:rsid w:val="00A14FC3"/>
    <w:rsid w:val="00A161FF"/>
    <w:rsid w:val="00A27E9B"/>
    <w:rsid w:val="00A31A5E"/>
    <w:rsid w:val="00A4376B"/>
    <w:rsid w:val="00A4738F"/>
    <w:rsid w:val="00A60894"/>
    <w:rsid w:val="00A63CC8"/>
    <w:rsid w:val="00A7093F"/>
    <w:rsid w:val="00A75D11"/>
    <w:rsid w:val="00A81525"/>
    <w:rsid w:val="00A8277C"/>
    <w:rsid w:val="00A82A76"/>
    <w:rsid w:val="00A8468F"/>
    <w:rsid w:val="00A90F6D"/>
    <w:rsid w:val="00AA0DFA"/>
    <w:rsid w:val="00AA276D"/>
    <w:rsid w:val="00AA4D44"/>
    <w:rsid w:val="00AB0121"/>
    <w:rsid w:val="00AB1CE6"/>
    <w:rsid w:val="00AC1925"/>
    <w:rsid w:val="00AD3AAE"/>
    <w:rsid w:val="00AE2A37"/>
    <w:rsid w:val="00B00ADD"/>
    <w:rsid w:val="00B0400B"/>
    <w:rsid w:val="00B050A3"/>
    <w:rsid w:val="00B076E7"/>
    <w:rsid w:val="00B07DD3"/>
    <w:rsid w:val="00B13AD3"/>
    <w:rsid w:val="00B13AFA"/>
    <w:rsid w:val="00B27218"/>
    <w:rsid w:val="00B4565B"/>
    <w:rsid w:val="00B568DB"/>
    <w:rsid w:val="00B61424"/>
    <w:rsid w:val="00B62582"/>
    <w:rsid w:val="00B6699A"/>
    <w:rsid w:val="00B707A7"/>
    <w:rsid w:val="00B740F1"/>
    <w:rsid w:val="00B775A9"/>
    <w:rsid w:val="00B8318F"/>
    <w:rsid w:val="00B83C85"/>
    <w:rsid w:val="00B872AB"/>
    <w:rsid w:val="00B9136B"/>
    <w:rsid w:val="00B91796"/>
    <w:rsid w:val="00B95A5E"/>
    <w:rsid w:val="00B9662E"/>
    <w:rsid w:val="00BA245C"/>
    <w:rsid w:val="00BA3835"/>
    <w:rsid w:val="00BB0A36"/>
    <w:rsid w:val="00BB6513"/>
    <w:rsid w:val="00BB77D4"/>
    <w:rsid w:val="00BC2CC1"/>
    <w:rsid w:val="00BC3978"/>
    <w:rsid w:val="00BD0386"/>
    <w:rsid w:val="00BD1948"/>
    <w:rsid w:val="00BD6192"/>
    <w:rsid w:val="00BE7C29"/>
    <w:rsid w:val="00BF13F8"/>
    <w:rsid w:val="00BF1463"/>
    <w:rsid w:val="00BF2875"/>
    <w:rsid w:val="00C2793E"/>
    <w:rsid w:val="00C33919"/>
    <w:rsid w:val="00C439E2"/>
    <w:rsid w:val="00C47646"/>
    <w:rsid w:val="00C51786"/>
    <w:rsid w:val="00C56816"/>
    <w:rsid w:val="00C6036E"/>
    <w:rsid w:val="00C62203"/>
    <w:rsid w:val="00C66CD4"/>
    <w:rsid w:val="00C8143C"/>
    <w:rsid w:val="00CB0069"/>
    <w:rsid w:val="00CB3502"/>
    <w:rsid w:val="00CB5C14"/>
    <w:rsid w:val="00CB74C3"/>
    <w:rsid w:val="00CC044F"/>
    <w:rsid w:val="00CC5AFE"/>
    <w:rsid w:val="00CE33F9"/>
    <w:rsid w:val="00CF0238"/>
    <w:rsid w:val="00CF263D"/>
    <w:rsid w:val="00CF46BC"/>
    <w:rsid w:val="00D01818"/>
    <w:rsid w:val="00D02714"/>
    <w:rsid w:val="00D065AE"/>
    <w:rsid w:val="00D070EC"/>
    <w:rsid w:val="00D222FE"/>
    <w:rsid w:val="00D2356A"/>
    <w:rsid w:val="00D23D6B"/>
    <w:rsid w:val="00D243D3"/>
    <w:rsid w:val="00D310FB"/>
    <w:rsid w:val="00D33DFB"/>
    <w:rsid w:val="00D42AF6"/>
    <w:rsid w:val="00D45E9D"/>
    <w:rsid w:val="00D52EBC"/>
    <w:rsid w:val="00D54D42"/>
    <w:rsid w:val="00D612E5"/>
    <w:rsid w:val="00D7096B"/>
    <w:rsid w:val="00D70D14"/>
    <w:rsid w:val="00D8207B"/>
    <w:rsid w:val="00D85288"/>
    <w:rsid w:val="00D958FA"/>
    <w:rsid w:val="00D97E33"/>
    <w:rsid w:val="00DA089A"/>
    <w:rsid w:val="00DA4445"/>
    <w:rsid w:val="00DA7B93"/>
    <w:rsid w:val="00DB04A6"/>
    <w:rsid w:val="00DB1DD4"/>
    <w:rsid w:val="00DB5FD7"/>
    <w:rsid w:val="00DB7D22"/>
    <w:rsid w:val="00DD3AE4"/>
    <w:rsid w:val="00DE4767"/>
    <w:rsid w:val="00DE5CAD"/>
    <w:rsid w:val="00E03434"/>
    <w:rsid w:val="00E03500"/>
    <w:rsid w:val="00E1501F"/>
    <w:rsid w:val="00E222A2"/>
    <w:rsid w:val="00E27B25"/>
    <w:rsid w:val="00E305E0"/>
    <w:rsid w:val="00E3597A"/>
    <w:rsid w:val="00E41AB8"/>
    <w:rsid w:val="00E4357B"/>
    <w:rsid w:val="00E44EAC"/>
    <w:rsid w:val="00E5495F"/>
    <w:rsid w:val="00E67FC8"/>
    <w:rsid w:val="00E727AA"/>
    <w:rsid w:val="00E75514"/>
    <w:rsid w:val="00E77679"/>
    <w:rsid w:val="00E86C14"/>
    <w:rsid w:val="00E87F72"/>
    <w:rsid w:val="00E91DE0"/>
    <w:rsid w:val="00EA3267"/>
    <w:rsid w:val="00EA35A7"/>
    <w:rsid w:val="00EB46F1"/>
    <w:rsid w:val="00EB62AE"/>
    <w:rsid w:val="00EB7359"/>
    <w:rsid w:val="00EC4848"/>
    <w:rsid w:val="00EC516E"/>
    <w:rsid w:val="00ED6F04"/>
    <w:rsid w:val="00ED7611"/>
    <w:rsid w:val="00EE7F72"/>
    <w:rsid w:val="00EF06F3"/>
    <w:rsid w:val="00F12B3C"/>
    <w:rsid w:val="00F14C93"/>
    <w:rsid w:val="00F14CCB"/>
    <w:rsid w:val="00F17B56"/>
    <w:rsid w:val="00F263EA"/>
    <w:rsid w:val="00F31741"/>
    <w:rsid w:val="00F347BC"/>
    <w:rsid w:val="00F4071A"/>
    <w:rsid w:val="00F502CC"/>
    <w:rsid w:val="00F61FFF"/>
    <w:rsid w:val="00F65743"/>
    <w:rsid w:val="00F76231"/>
    <w:rsid w:val="00F76A53"/>
    <w:rsid w:val="00F77D14"/>
    <w:rsid w:val="00F92224"/>
    <w:rsid w:val="00F946D5"/>
    <w:rsid w:val="00FA1A4A"/>
    <w:rsid w:val="00FA45C1"/>
    <w:rsid w:val="00FA4FF5"/>
    <w:rsid w:val="00FC5D1F"/>
    <w:rsid w:val="00FD16A8"/>
    <w:rsid w:val="00FE0DA5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A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hockelim</dc:creator>
  <cp:keywords/>
  <dc:description/>
  <cp:lastModifiedBy>YEAP,GUAN-LENG (A-Malaysia,ex1)</cp:lastModifiedBy>
  <cp:revision>4</cp:revision>
  <dcterms:created xsi:type="dcterms:W3CDTF">2012-10-18T05:18:00Z</dcterms:created>
  <dcterms:modified xsi:type="dcterms:W3CDTF">2012-10-18T09:07:00Z</dcterms:modified>
</cp:coreProperties>
</file>